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E" w:rsidRDefault="000715F9">
      <w:pPr>
        <w:pStyle w:val="30"/>
        <w:shd w:val="clear" w:color="auto" w:fill="auto"/>
        <w:ind w:left="180"/>
      </w:pPr>
      <w:r>
        <w:t>Пояснительная записка</w:t>
      </w:r>
    </w:p>
    <w:p w:rsidR="00134D4E" w:rsidRDefault="000715F9">
      <w:pPr>
        <w:pStyle w:val="30"/>
        <w:shd w:val="clear" w:color="auto" w:fill="auto"/>
        <w:ind w:left="180"/>
      </w:pPr>
      <w:r>
        <w:t>к проекту бюджета сельского поселения сумон</w:t>
      </w:r>
      <w:r w:rsidR="007A3B07">
        <w:t>а</w:t>
      </w:r>
      <w:r w:rsidR="00576D7E">
        <w:t xml:space="preserve"> Холчук</w:t>
      </w:r>
      <w:r>
        <w:t xml:space="preserve"> Чеди-Хольского кожууна</w:t>
      </w:r>
    </w:p>
    <w:p w:rsidR="00134D4E" w:rsidRDefault="000715F9">
      <w:pPr>
        <w:pStyle w:val="30"/>
        <w:shd w:val="clear" w:color="auto" w:fill="auto"/>
        <w:ind w:left="180"/>
      </w:pPr>
      <w:r>
        <w:t>на 2022 год</w:t>
      </w:r>
    </w:p>
    <w:p w:rsidR="00134D4E" w:rsidRDefault="000715F9">
      <w:pPr>
        <w:pStyle w:val="20"/>
        <w:shd w:val="clear" w:color="auto" w:fill="auto"/>
        <w:ind w:right="240" w:firstLine="780"/>
      </w:pPr>
      <w:r>
        <w:t xml:space="preserve">В соответствии с проектом бюджета поселения на 2022 год дотации бюджетам сельских поселений на выравнивание бюджетной обеспеченности, прочие субсидии бюджетам поселений и субвенции составят </w:t>
      </w:r>
      <w:r w:rsidR="00576D7E">
        <w:t>2686</w:t>
      </w:r>
      <w:r>
        <w:t xml:space="preserve"> тыс.руб. В том числе:</w:t>
      </w:r>
    </w:p>
    <w:tbl>
      <w:tblPr>
        <w:tblOverlap w:val="never"/>
        <w:tblW w:w="100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3"/>
        <w:gridCol w:w="1570"/>
      </w:tblGrid>
      <w:tr w:rsidR="00134D4E" w:rsidTr="00B15513">
        <w:trPr>
          <w:trHeight w:hRule="exact" w:val="688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34D4E" w:rsidRDefault="000715F9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</w:pPr>
            <w:r>
              <w:rPr>
                <w:rStyle w:val="285pt"/>
              </w:rPr>
              <w:t>Предметная статья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Default="000715F9">
            <w:pPr>
              <w:pStyle w:val="20"/>
              <w:framePr w:w="10073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85pt"/>
              </w:rPr>
              <w:t>Бюджетные ассигнования на 2022 год</w:t>
            </w:r>
          </w:p>
        </w:tc>
      </w:tr>
      <w:tr w:rsidR="00134D4E" w:rsidRPr="007A3B07" w:rsidTr="00B15513">
        <w:trPr>
          <w:trHeight w:hRule="exact" w:val="353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0715F9" w:rsidP="007A3B07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Итого от бюджетов других уровнен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2686</w:t>
            </w:r>
          </w:p>
        </w:tc>
      </w:tr>
      <w:tr w:rsidR="00134D4E" w:rsidRPr="007A3B07" w:rsidTr="00B15513">
        <w:trPr>
          <w:trHeight w:hRule="exact" w:val="356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0715F9" w:rsidP="007A3B07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Дотации от других бюджетов бюджетной системы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576D7E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2400,0</w:t>
            </w:r>
          </w:p>
        </w:tc>
      </w:tr>
      <w:tr w:rsidR="00134D4E" w:rsidRPr="007A3B07" w:rsidTr="00B15513">
        <w:trPr>
          <w:trHeight w:hRule="exact" w:val="349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0715F9" w:rsidP="007A3B07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576D7E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2400,0</w:t>
            </w:r>
          </w:p>
        </w:tc>
      </w:tr>
      <w:tr w:rsidR="00134D4E" w:rsidRPr="007A3B07" w:rsidTr="00B15513">
        <w:trPr>
          <w:trHeight w:hRule="exact" w:val="356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0715F9" w:rsidP="007A3B07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left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Субвенции от других бюджетов бюджетной системы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101,0</w:t>
            </w:r>
          </w:p>
        </w:tc>
      </w:tr>
      <w:tr w:rsidR="00134D4E" w:rsidRPr="007A3B07" w:rsidTr="00B15513">
        <w:trPr>
          <w:trHeight w:hRule="exact" w:val="536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4D4E" w:rsidRPr="007A3B07" w:rsidRDefault="000715F9">
            <w:pPr>
              <w:pStyle w:val="20"/>
              <w:framePr w:w="10073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Республике Тыва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D4E" w:rsidRPr="00EB1677" w:rsidRDefault="000715F9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 w:rsidRPr="00EB1677">
              <w:rPr>
                <w:rStyle w:val="285pt"/>
                <w:sz w:val="18"/>
                <w:szCs w:val="18"/>
              </w:rPr>
              <w:t>1,00</w:t>
            </w:r>
          </w:p>
        </w:tc>
      </w:tr>
      <w:tr w:rsidR="00B15513" w:rsidRPr="007A3B07" w:rsidTr="00B15513">
        <w:trPr>
          <w:trHeight w:hRule="exact" w:val="518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5513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220" w:lineRule="exact"/>
              <w:ind w:firstLine="0"/>
              <w:jc w:val="left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513" w:rsidRPr="00EB167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184,0</w:t>
            </w:r>
          </w:p>
        </w:tc>
      </w:tr>
      <w:tr w:rsidR="00B15513" w:rsidRPr="007A3B07" w:rsidTr="00B15513">
        <w:trPr>
          <w:trHeight w:hRule="exact" w:val="356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5513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 w:rsidRPr="007A3B07">
              <w:rPr>
                <w:rStyle w:val="285pt"/>
                <w:sz w:val="18"/>
                <w:szCs w:val="18"/>
              </w:rPr>
              <w:t>Субсидии на долевое финансирование расходов на оплату коммунальных услуг (о отношении расходов по оплате электрической и тепловой энергии, водоснабжения, приобретение котельно- печного топлива для казенных, бюджетных и автономных учреждений с учетов доставки)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513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  <w:r>
              <w:rPr>
                <w:rStyle w:val="285pt"/>
                <w:sz w:val="18"/>
                <w:szCs w:val="18"/>
              </w:rPr>
              <w:t>184,0</w:t>
            </w:r>
          </w:p>
        </w:tc>
      </w:tr>
      <w:tr w:rsidR="00B15513" w:rsidRPr="007A3B07" w:rsidTr="00B15513">
        <w:trPr>
          <w:trHeight w:hRule="exact" w:val="688"/>
          <w:jc w:val="center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15513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220" w:lineRule="exact"/>
              <w:ind w:firstLine="0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5513" w:rsidRPr="007A3B07" w:rsidRDefault="00B15513">
            <w:pPr>
              <w:pStyle w:val="20"/>
              <w:framePr w:w="10073" w:wrap="notBeside" w:vAnchor="text" w:hAnchor="text" w:xAlign="center" w:y="1"/>
              <w:shd w:val="clear" w:color="auto" w:fill="auto"/>
              <w:spacing w:line="170" w:lineRule="exact"/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134D4E" w:rsidRPr="007A3B07" w:rsidRDefault="00134D4E">
      <w:pPr>
        <w:framePr w:w="10073" w:wrap="notBeside" w:vAnchor="text" w:hAnchor="text" w:xAlign="center" w:y="1"/>
        <w:rPr>
          <w:sz w:val="18"/>
          <w:szCs w:val="18"/>
        </w:rPr>
      </w:pPr>
    </w:p>
    <w:p w:rsidR="00134D4E" w:rsidRDefault="00134D4E">
      <w:pPr>
        <w:rPr>
          <w:sz w:val="2"/>
          <w:szCs w:val="2"/>
        </w:rPr>
      </w:pPr>
    </w:p>
    <w:p w:rsidR="00134D4E" w:rsidRDefault="000715F9">
      <w:pPr>
        <w:pStyle w:val="20"/>
        <w:shd w:val="clear" w:color="auto" w:fill="auto"/>
        <w:spacing w:before="179" w:line="288" w:lineRule="exact"/>
        <w:ind w:right="240" w:firstLine="160"/>
      </w:pPr>
      <w:r>
        <w:t>Собственные</w:t>
      </w:r>
      <w:r w:rsidR="00B15513">
        <w:t xml:space="preserve"> доходы местного бюджета сумона Холчук</w:t>
      </w:r>
      <w:r w:rsidR="00B023CC">
        <w:t xml:space="preserve"> </w:t>
      </w:r>
      <w:r>
        <w:t xml:space="preserve">в 2022 году определены в соответствии с прогнозными показателями плана социально-экономического развития сумона на 2022 год в сумме </w:t>
      </w:r>
      <w:r w:rsidR="00094BAB">
        <w:t>97</w:t>
      </w:r>
      <w:r>
        <w:t>,0 тыс. руб. В том числе: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88" w:lineRule="exact"/>
        <w:ind w:left="660" w:firstLine="0"/>
      </w:pPr>
      <w:r>
        <w:t>На</w:t>
      </w:r>
      <w:r w:rsidR="00B15513">
        <w:t>лог на доходы физических лиц - 25</w:t>
      </w:r>
      <w:r>
        <w:t>,0 тыс. руб.;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88" w:lineRule="exact"/>
        <w:ind w:left="660" w:firstLine="0"/>
      </w:pPr>
      <w:r>
        <w:t>Земел</w:t>
      </w:r>
      <w:r w:rsidR="00094BAB">
        <w:t>ьный налог с физических лиц - 15</w:t>
      </w:r>
      <w:r>
        <w:t xml:space="preserve"> тыс.руб.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88" w:lineRule="exact"/>
        <w:ind w:left="660" w:firstLine="0"/>
      </w:pPr>
      <w:r>
        <w:t>Зе</w:t>
      </w:r>
      <w:r w:rsidR="008C3A84">
        <w:t>мельный налог с организаций - 42</w:t>
      </w:r>
      <w:r>
        <w:t>,0 тыс.руб.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40" w:lineRule="exact"/>
        <w:ind w:left="660" w:firstLine="0"/>
      </w:pPr>
      <w:r>
        <w:t>Налог н</w:t>
      </w:r>
      <w:r w:rsidR="008C3A84">
        <w:t>а имущество с физических лиц - 3</w:t>
      </w:r>
      <w:r>
        <w:t>,0 тыс.руб.</w:t>
      </w:r>
      <w:bookmarkStart w:id="0" w:name="_GoBack"/>
      <w:bookmarkEnd w:id="0"/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77" w:lineRule="exact"/>
        <w:ind w:left="660" w:firstLine="0"/>
      </w:pPr>
      <w:r>
        <w:t>Единый сельскохозяйственный налог -1</w:t>
      </w:r>
      <w:r w:rsidR="00B15513">
        <w:t>2</w:t>
      </w:r>
      <w:r>
        <w:t>,0 тыс.руб.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77" w:lineRule="exact"/>
        <w:ind w:left="1020"/>
        <w:jc w:val="left"/>
      </w:pPr>
      <w:r>
        <w:t xml:space="preserve">Доход от предпринимательской деятельности и иной приносящей доход деятельности - </w:t>
      </w:r>
      <w:r w:rsidR="0004175E">
        <w:t>0</w:t>
      </w:r>
      <w:r>
        <w:t xml:space="preserve"> тыс. руб.</w:t>
      </w:r>
    </w:p>
    <w:p w:rsidR="00134D4E" w:rsidRDefault="000715F9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line="277" w:lineRule="exact"/>
        <w:ind w:left="1020"/>
        <w:jc w:val="left"/>
      </w:pPr>
      <w:r>
        <w:t xml:space="preserve">Средства самообложения граждан, зачисляемые в бюджеты сельских поселений - </w:t>
      </w:r>
      <w:r w:rsidR="008C3A84">
        <w:t>3</w:t>
      </w:r>
      <w:r>
        <w:t>,0 тыс.руб.</w:t>
      </w:r>
    </w:p>
    <w:p w:rsidR="00134D4E" w:rsidRDefault="000715F9">
      <w:pPr>
        <w:pStyle w:val="20"/>
        <w:shd w:val="clear" w:color="auto" w:fill="auto"/>
        <w:spacing w:line="277" w:lineRule="exact"/>
        <w:ind w:right="240" w:firstLine="780"/>
      </w:pPr>
      <w:r>
        <w:t>При формировании бюджета учтено введение в действие главы Налогового кодекса, регулирующей уплату земельного налога по кадастровой оценке земли, налога на имущество физических лиц по кадастровой стоимости.</w:t>
      </w:r>
    </w:p>
    <w:p w:rsidR="00134D4E" w:rsidRDefault="000715F9">
      <w:pPr>
        <w:pStyle w:val="20"/>
        <w:shd w:val="clear" w:color="auto" w:fill="auto"/>
        <w:spacing w:line="277" w:lineRule="exact"/>
        <w:ind w:right="240" w:firstLine="780"/>
      </w:pPr>
      <w:r>
        <w:rPr>
          <w:rStyle w:val="21"/>
        </w:rPr>
        <w:t xml:space="preserve">Налог на доходы физических лиц на 2022год </w:t>
      </w:r>
      <w:r w:rsidR="008C3A84">
        <w:t>по сумону определен в сумме 25</w:t>
      </w:r>
      <w:r>
        <w:t>,0 тыс. руб. Основными источниками поступления налога на доходы физических лиц на 2022 год являются:</w:t>
      </w:r>
    </w:p>
    <w:p w:rsidR="00134D4E" w:rsidRDefault="000715F9">
      <w:pPr>
        <w:pStyle w:val="20"/>
        <w:shd w:val="clear" w:color="auto" w:fill="auto"/>
        <w:spacing w:after="270" w:line="277" w:lineRule="exact"/>
        <w:ind w:right="240" w:firstLine="780"/>
      </w:pPr>
      <w:r>
        <w:t>административно-управленческая сфера (местного самоуправления), школа, культура, здравоохранение, частный сектор экономики, предпринимательская деятельность.</w:t>
      </w:r>
    </w:p>
    <w:p w:rsidR="00134D4E" w:rsidRDefault="000715F9">
      <w:pPr>
        <w:pStyle w:val="30"/>
        <w:shd w:val="clear" w:color="auto" w:fill="auto"/>
        <w:spacing w:after="146" w:line="240" w:lineRule="exact"/>
        <w:ind w:left="180"/>
      </w:pPr>
      <w:r>
        <w:t>Структура расходов бюджета поселения на 2022 год</w:t>
      </w:r>
    </w:p>
    <w:p w:rsidR="00134D4E" w:rsidRDefault="000715F9">
      <w:pPr>
        <w:pStyle w:val="20"/>
        <w:shd w:val="clear" w:color="auto" w:fill="auto"/>
        <w:spacing w:line="274" w:lineRule="exact"/>
        <w:ind w:right="240" w:firstLine="780"/>
      </w:pPr>
      <w:r>
        <w:t>Формирование объемов и структуры расходов бюджета поселения на 2022 год осуществлялось исходя из следующих основных подходов:</w:t>
      </w:r>
    </w:p>
    <w:p w:rsidR="00134D4E" w:rsidRDefault="000715F9">
      <w:pPr>
        <w:pStyle w:val="20"/>
        <w:shd w:val="clear" w:color="auto" w:fill="auto"/>
        <w:spacing w:after="431" w:line="274" w:lineRule="exact"/>
        <w:ind w:right="240" w:firstLine="1020"/>
      </w:pPr>
      <w:r>
        <w:t>- расходы на оплату коммунальных услуг, закупку и доставку угля для администрации сумона предусмотрены в соответствии с требованиями федерального закона, а также письма Службы по тарифам республики Тыва о прогнозных уровнях роста тарифов по коммунальным услугам на 2022-2024 гг, в соответствии с основными параметрами прогноза социально- экономического развития субъекта РФ на 2022 год и значениями индексов, учтенных при установлении долгосрочных тарифов на 2023-2024гг.</w:t>
      </w:r>
    </w:p>
    <w:p w:rsidR="00134D4E" w:rsidRDefault="000715F9">
      <w:pPr>
        <w:pStyle w:val="10"/>
        <w:keepNext/>
        <w:keepLines/>
        <w:shd w:val="clear" w:color="auto" w:fill="auto"/>
        <w:spacing w:before="0" w:line="260" w:lineRule="exact"/>
      </w:pPr>
      <w:bookmarkStart w:id="1" w:name="bookmark0"/>
      <w:r>
        <w:rPr>
          <w:rStyle w:val="11"/>
        </w:rPr>
        <w:t>//</w:t>
      </w:r>
      <w:bookmarkEnd w:id="1"/>
    </w:p>
    <w:p w:rsidR="0004175E" w:rsidRDefault="0004175E">
      <w:pPr>
        <w:pStyle w:val="20"/>
        <w:shd w:val="clear" w:color="auto" w:fill="auto"/>
        <w:spacing w:line="277" w:lineRule="exact"/>
        <w:ind w:firstLine="740"/>
      </w:pPr>
    </w:p>
    <w:p w:rsidR="00134D4E" w:rsidRDefault="000715F9">
      <w:pPr>
        <w:pStyle w:val="20"/>
        <w:shd w:val="clear" w:color="auto" w:fill="auto"/>
        <w:spacing w:line="277" w:lineRule="exact"/>
        <w:ind w:firstLine="740"/>
      </w:pPr>
      <w:r>
        <w:lastRenderedPageBreak/>
        <w:t>Установление тарифов на 2022 год будет осуществляться с календарной разбивкой, предполагающей сохранение с 01.01.2022г. уровня тарифов, достигнутого на 31.12.2021г. Таким образом, предельные уровни роста тарифов сложились:</w:t>
      </w:r>
    </w:p>
    <w:p w:rsidR="00134D4E" w:rsidRDefault="000715F9">
      <w:pPr>
        <w:pStyle w:val="20"/>
        <w:shd w:val="clear" w:color="auto" w:fill="auto"/>
        <w:spacing w:after="243" w:line="277" w:lineRule="exact"/>
        <w:ind w:firstLine="740"/>
      </w:pPr>
      <w:r>
        <w:t>- на электрическую энергию с 01.07.2022г. - 7,6 %</w:t>
      </w:r>
    </w:p>
    <w:p w:rsidR="00134D4E" w:rsidRDefault="000715F9">
      <w:pPr>
        <w:pStyle w:val="20"/>
        <w:shd w:val="clear" w:color="auto" w:fill="auto"/>
        <w:spacing w:after="237" w:line="274" w:lineRule="exact"/>
        <w:ind w:firstLine="340"/>
      </w:pPr>
      <w:r>
        <w:t>- формирование фонда оплаты труда муниципальных служащих в соответствии с Постановлением Правительства РТ от 01.06.2020г.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Тыва»; а также в соответствии Постановлениями администрации Чеди- Хольского кожууна от 01.10.2020г №443 « Об утверждении «Положения об оплате труда работников органов местного самоуправления муниципального района «Чеди-Хольский кожуун Республики Тыва», заменяющих должности, не являющиеся должностями муниципальной службы»; от 23.11.2020г №538 «О повышении размеров окладов денежного вознаграждения лицам, замещающим муниципальные должности Чеди-Хольского кожууна Республики Тыва, и окладов денежного содержания лицам, замещающих должности муниципальной службы Чеди-Хольского кожууна Республики Тыва, Постановлением Правительства РТ от 28.10.2020г. № 519 «Об индексации заработной платы работников казенных, бюджетных и автономных учреждений Республики Тыва»</w:t>
      </w:r>
    </w:p>
    <w:p w:rsidR="00134D4E" w:rsidRDefault="000715F9">
      <w:pPr>
        <w:pStyle w:val="20"/>
        <w:shd w:val="clear" w:color="auto" w:fill="auto"/>
        <w:spacing w:line="277" w:lineRule="exact"/>
        <w:ind w:firstLine="740"/>
      </w:pPr>
      <w:r>
        <w:t>Пояснения к формированию бюджетных ассигнований по разделам и подразделам классификации расходов бюджета на 2022 год приведены в приложении № 6 к проекту решения о бюджете.</w:t>
      </w:r>
    </w:p>
    <w:p w:rsidR="00134D4E" w:rsidRDefault="000715F9">
      <w:pPr>
        <w:pStyle w:val="20"/>
        <w:shd w:val="clear" w:color="auto" w:fill="auto"/>
        <w:spacing w:line="277" w:lineRule="exact"/>
        <w:ind w:firstLine="600"/>
      </w:pPr>
      <w:r>
        <w:t>Бюджетные ассигнования на реализацию муниципальных программ на 2022 год по всем разделам и подразделам классификации расходов бюджетов Российской Федерации в соответствии с отраслевой принадлежностью отражены в ведомственной структуре расходов бюджета в приложении 8 проекта Решения. Разработаны и утверждены 4 муниципальных программ:</w:t>
      </w:r>
    </w:p>
    <w:p w:rsidR="00134D4E" w:rsidRDefault="000715F9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277" w:lineRule="exact"/>
        <w:ind w:left="940" w:hanging="340"/>
        <w:jc w:val="left"/>
      </w:pPr>
      <w:r>
        <w:t xml:space="preserve">«По профилактике правонарушений и обеспечению общественной безопасности в сельском поселении сумона </w:t>
      </w:r>
      <w:r w:rsidR="008C3A84">
        <w:t xml:space="preserve">Холчук </w:t>
      </w:r>
      <w:r>
        <w:t>на 2020-2022 годы»;</w:t>
      </w:r>
    </w:p>
    <w:p w:rsidR="00134D4E" w:rsidRDefault="000715F9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277" w:lineRule="exact"/>
        <w:ind w:firstLine="600"/>
      </w:pPr>
      <w:r>
        <w:t xml:space="preserve">Противодействие коррупции в </w:t>
      </w:r>
      <w:r w:rsidR="008C3A84">
        <w:t>сумоне Холчук</w:t>
      </w:r>
      <w:r>
        <w:t xml:space="preserve"> на 2020-2022 годы»;</w:t>
      </w:r>
    </w:p>
    <w:p w:rsidR="00134D4E" w:rsidRDefault="000715F9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line="277" w:lineRule="exact"/>
        <w:ind w:left="940" w:hanging="340"/>
        <w:jc w:val="left"/>
      </w:pPr>
      <w:r>
        <w:t xml:space="preserve">«Профилактика терроризма и экстремизма на территории </w:t>
      </w:r>
      <w:r w:rsidR="008C3A84">
        <w:t xml:space="preserve">Холчук </w:t>
      </w:r>
      <w:r>
        <w:t>сумона на 2020-2022 годы»;</w:t>
      </w:r>
    </w:p>
    <w:p w:rsidR="00134D4E" w:rsidRDefault="000715F9">
      <w:pPr>
        <w:pStyle w:val="20"/>
        <w:numPr>
          <w:ilvl w:val="0"/>
          <w:numId w:val="2"/>
        </w:numPr>
        <w:shd w:val="clear" w:color="auto" w:fill="auto"/>
        <w:tabs>
          <w:tab w:val="left" w:pos="982"/>
        </w:tabs>
        <w:spacing w:after="243" w:line="277" w:lineRule="exact"/>
        <w:ind w:firstLine="600"/>
      </w:pPr>
      <w:r>
        <w:t xml:space="preserve">«Благоустройство сельского поселения сумона </w:t>
      </w:r>
      <w:r w:rsidR="008C3A84">
        <w:t>Холчук</w:t>
      </w:r>
      <w:r>
        <w:t xml:space="preserve"> на 2020-2022 годы».</w:t>
      </w:r>
    </w:p>
    <w:p w:rsidR="00134D4E" w:rsidRDefault="000715F9">
      <w:pPr>
        <w:pStyle w:val="30"/>
        <w:shd w:val="clear" w:color="auto" w:fill="auto"/>
        <w:spacing w:line="274" w:lineRule="exact"/>
        <w:ind w:left="3220"/>
        <w:jc w:val="left"/>
      </w:pPr>
      <w:r>
        <w:t>Раздел «Общегосударственные вопросы»</w:t>
      </w:r>
    </w:p>
    <w:p w:rsidR="00134D4E" w:rsidRDefault="000715F9">
      <w:pPr>
        <w:pStyle w:val="20"/>
        <w:shd w:val="clear" w:color="auto" w:fill="auto"/>
        <w:spacing w:line="274" w:lineRule="exact"/>
        <w:ind w:firstLine="940"/>
      </w:pPr>
      <w:r>
        <w:t>По разделу «Общегосударственные вопросы» отражаются расходные обязательства высшего должностного лица исполнительного органа местного самоуправления, законодательного (представительного) органа поселения, органов исполнительной власти и резервного фонда поселения. Объем расходных обязательств по данному разделу на 2</w:t>
      </w:r>
      <w:r w:rsidR="008C3A84">
        <w:t>022 год составил в сумме 2400</w:t>
      </w:r>
      <w:r>
        <w:t xml:space="preserve"> тыс. рублей, в том числе на оплату труда с страховыми взносами на фонды </w:t>
      </w:r>
      <w:r w:rsidR="008C3A84">
        <w:t>705</w:t>
      </w:r>
      <w:r>
        <w:t>,0 тыс.рублей и на прочие закупки товаров, работ и услуг для государс</w:t>
      </w:r>
      <w:r w:rsidR="008C3A84">
        <w:t>твенных (муниципальных) нужд 50,0</w:t>
      </w:r>
      <w:r>
        <w:t xml:space="preserve"> тыс.рублей, в том числе 10,0 тыс.рублей на расходы возникшие в результате вступления в законную силу судебных решений, на уплату налогов, сборов и иных платежей 2,0 тыс.рублей. Резервный фонд запланирован на 2022 год в сумме 10,0 тысяч рублей и будут направлены на приобретение горюче-смазочных материалов и продуктов питания для предупреждения и ликвидации пожара, последствий наводнения и землетрясения на территории поселения, согласно утвержденному положению о резервном фонде администрации сумона.</w:t>
      </w:r>
    </w:p>
    <w:p w:rsidR="00134D4E" w:rsidRDefault="000715F9">
      <w:pPr>
        <w:pStyle w:val="20"/>
        <w:shd w:val="clear" w:color="auto" w:fill="auto"/>
        <w:spacing w:line="274" w:lineRule="exact"/>
        <w:ind w:firstLine="740"/>
      </w:pPr>
      <w:r>
        <w:t>По данному разделу в количестве 7 штатных единиц, в том числе муниципальных служащих 4 штатных единиц, и не относящиеся к муниципальной службе и МОП - 3 единицы.</w:t>
      </w:r>
    </w:p>
    <w:p w:rsidR="00134D4E" w:rsidRDefault="000715F9">
      <w:pPr>
        <w:pStyle w:val="20"/>
        <w:shd w:val="clear" w:color="auto" w:fill="auto"/>
        <w:spacing w:after="240" w:line="274" w:lineRule="exact"/>
        <w:ind w:firstLine="0"/>
      </w:pPr>
      <w:r>
        <w:t>В разделе общегосударственные расходы включена субвенция на осуществление полномочий по установлению запрета на розничную продажу алкогольной продукции в сумме -1,00 тыс.рублей.</w:t>
      </w:r>
    </w:p>
    <w:p w:rsidR="006461B4" w:rsidRDefault="006461B4">
      <w:pPr>
        <w:pStyle w:val="30"/>
        <w:shd w:val="clear" w:color="auto" w:fill="auto"/>
        <w:spacing w:line="277" w:lineRule="exact"/>
        <w:ind w:left="1340"/>
        <w:jc w:val="left"/>
      </w:pPr>
    </w:p>
    <w:p w:rsidR="006461B4" w:rsidRDefault="006461B4">
      <w:pPr>
        <w:pStyle w:val="30"/>
        <w:shd w:val="clear" w:color="auto" w:fill="auto"/>
        <w:spacing w:line="277" w:lineRule="exact"/>
        <w:ind w:left="1340"/>
        <w:jc w:val="left"/>
      </w:pPr>
    </w:p>
    <w:p w:rsidR="00134D4E" w:rsidRDefault="000715F9">
      <w:pPr>
        <w:pStyle w:val="30"/>
        <w:shd w:val="clear" w:color="auto" w:fill="auto"/>
        <w:spacing w:line="277" w:lineRule="exact"/>
        <w:ind w:left="1340"/>
        <w:jc w:val="left"/>
      </w:pPr>
      <w:r>
        <w:t>Раздел «Национальная безопасность и правоохранительная деятельность»</w:t>
      </w:r>
    </w:p>
    <w:p w:rsidR="00134D4E" w:rsidRDefault="000715F9">
      <w:pPr>
        <w:pStyle w:val="20"/>
        <w:shd w:val="clear" w:color="auto" w:fill="auto"/>
        <w:spacing w:after="510" w:line="277" w:lineRule="exact"/>
        <w:ind w:firstLine="680"/>
      </w:pPr>
      <w:r>
        <w:t>В данном разделе предусмотрены расхо</w:t>
      </w:r>
      <w:r w:rsidR="008C3A84">
        <w:t>дные обязательства на сумму 44</w:t>
      </w:r>
      <w:r>
        <w:t>,0 тыс.рублей на осуществление мероприятий в области предупреждения и ликвидации последствий чрезвычайной ситуации в области гражданской обороны. В том числе на реализацию муниципальных программ 17,0 тыс.рублей по приложению бюджета №10.</w:t>
      </w:r>
    </w:p>
    <w:p w:rsidR="00134D4E" w:rsidRDefault="000715F9">
      <w:pPr>
        <w:pStyle w:val="30"/>
        <w:shd w:val="clear" w:color="auto" w:fill="auto"/>
        <w:spacing w:after="199" w:line="240" w:lineRule="exact"/>
      </w:pPr>
      <w:r>
        <w:lastRenderedPageBreak/>
        <w:t>Раздел «Национальная экономика»</w:t>
      </w:r>
    </w:p>
    <w:p w:rsidR="00134D4E" w:rsidRDefault="000715F9">
      <w:pPr>
        <w:pStyle w:val="20"/>
        <w:shd w:val="clear" w:color="auto" w:fill="auto"/>
        <w:spacing w:line="277" w:lineRule="exact"/>
        <w:ind w:firstLine="580"/>
      </w:pPr>
      <w:r>
        <w:t>В данном разделе предусмотрены расходные обязательства на содержание и ремонт скотомогильника в сумме 8,0 тыс.рублей.</w:t>
      </w:r>
    </w:p>
    <w:p w:rsidR="00134D4E" w:rsidRDefault="000715F9">
      <w:pPr>
        <w:pStyle w:val="40"/>
        <w:shd w:val="clear" w:color="auto" w:fill="auto"/>
        <w:spacing w:after="138" w:line="80" w:lineRule="exact"/>
        <w:ind w:left="6600"/>
      </w:pPr>
      <w:r>
        <w:t>*</w:t>
      </w:r>
    </w:p>
    <w:p w:rsidR="00134D4E" w:rsidRDefault="000715F9">
      <w:pPr>
        <w:pStyle w:val="30"/>
        <w:shd w:val="clear" w:color="auto" w:fill="auto"/>
        <w:spacing w:after="203" w:line="240" w:lineRule="exact"/>
      </w:pPr>
      <w:r>
        <w:t>Раздел «Жилищно-коммунальное хозяйство»</w:t>
      </w:r>
    </w:p>
    <w:p w:rsidR="00134D4E" w:rsidRDefault="000715F9">
      <w:pPr>
        <w:pStyle w:val="20"/>
        <w:shd w:val="clear" w:color="auto" w:fill="auto"/>
        <w:spacing w:after="180" w:line="277" w:lineRule="exact"/>
        <w:ind w:firstLine="580"/>
      </w:pPr>
      <w:r>
        <w:t>В данном разделе предусмотрены расходные обязательства на сумму 30,0 тыс.рублей, в том числе на «Благоустройство» на сумму 15,00 тыс. рублей, на содержание и ремонт уличного освещения 15,0 тыс. рублей.</w:t>
      </w:r>
    </w:p>
    <w:p w:rsidR="00134D4E" w:rsidRDefault="000715F9">
      <w:pPr>
        <w:pStyle w:val="20"/>
        <w:shd w:val="clear" w:color="auto" w:fill="auto"/>
        <w:spacing w:line="277" w:lineRule="exact"/>
        <w:ind w:firstLine="580"/>
      </w:pPr>
      <w:r>
        <w:t>На 2022 год бюджет поселения сформирован без дефицита расходов над доходами. Бюджет сбалансирован.</w:t>
      </w:r>
    </w:p>
    <w:p w:rsidR="00134D4E" w:rsidRDefault="000715F9">
      <w:pPr>
        <w:pStyle w:val="20"/>
        <w:shd w:val="clear" w:color="auto" w:fill="auto"/>
        <w:spacing w:line="277" w:lineRule="exact"/>
        <w:ind w:firstLine="580"/>
      </w:pPr>
      <w:r>
        <w:t>Проектом не предусмотрен верхний предел муниципального внутреннего долга и (или) верхний предел муниципального внешнего долга по состоянию на конец очередного года и на конец каждого планового периода.</w:t>
      </w:r>
    </w:p>
    <w:sectPr w:rsidR="00134D4E">
      <w:pgSz w:w="11900" w:h="16840"/>
      <w:pgMar w:top="584" w:right="406" w:bottom="286" w:left="9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E4" w:rsidRDefault="004738E4">
      <w:r>
        <w:separator/>
      </w:r>
    </w:p>
  </w:endnote>
  <w:endnote w:type="continuationSeparator" w:id="0">
    <w:p w:rsidR="004738E4" w:rsidRDefault="0047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E4" w:rsidRDefault="004738E4"/>
  </w:footnote>
  <w:footnote w:type="continuationSeparator" w:id="0">
    <w:p w:rsidR="004738E4" w:rsidRDefault="004738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260E"/>
    <w:multiLevelType w:val="multilevel"/>
    <w:tmpl w:val="21ECDB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5E6E7F"/>
    <w:multiLevelType w:val="multilevel"/>
    <w:tmpl w:val="A2FAE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E"/>
    <w:rsid w:val="0004175E"/>
    <w:rsid w:val="000715F9"/>
    <w:rsid w:val="00094BAB"/>
    <w:rsid w:val="00134D4E"/>
    <w:rsid w:val="004738E4"/>
    <w:rsid w:val="00481845"/>
    <w:rsid w:val="00576D7E"/>
    <w:rsid w:val="006461B4"/>
    <w:rsid w:val="007A3B07"/>
    <w:rsid w:val="008C3A84"/>
    <w:rsid w:val="00B023CC"/>
    <w:rsid w:val="00B15513"/>
    <w:rsid w:val="00E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4221C-815B-48D5-9598-E3842720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sz w:val="26"/>
      <w:szCs w:val="26"/>
      <w:u w:val="none"/>
    </w:rPr>
  </w:style>
  <w:style w:type="character" w:customStyle="1" w:styleId="11">
    <w:name w:val="Заголовок №1"/>
    <w:basedOn w:val="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81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0" w:lineRule="atLeast"/>
      <w:jc w:val="right"/>
      <w:outlineLvl w:val="0"/>
    </w:pPr>
    <w:rPr>
      <w:rFonts w:ascii="Franklin Gothic Heavy" w:eastAsia="Franklin Gothic Heavy" w:hAnsi="Franklin Gothic Heavy" w:cs="Franklin Gothic Heavy"/>
      <w:spacing w:val="-30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Элегест</dc:creator>
  <cp:lastModifiedBy>Холчук</cp:lastModifiedBy>
  <cp:revision>9</cp:revision>
  <dcterms:created xsi:type="dcterms:W3CDTF">2021-11-14T12:43:00Z</dcterms:created>
  <dcterms:modified xsi:type="dcterms:W3CDTF">2021-11-26T07:37:00Z</dcterms:modified>
</cp:coreProperties>
</file>